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EE" w:rsidRPr="00A676EE" w:rsidRDefault="00A676EE" w:rsidP="00A67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FIANÇA BANCÁRIA</w:t>
      </w:r>
    </w:p>
    <w:bookmarkEnd w:id="0"/>
    <w:p w:rsidR="00A676EE" w:rsidRPr="00A676EE" w:rsidRDefault="00A676EE" w:rsidP="00A67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676EE" w:rsidRPr="00A676EE" w:rsidRDefault="00A676EE" w:rsidP="00A676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A676EE" w:rsidRPr="00A676EE" w:rsidRDefault="00A676EE" w:rsidP="00A676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FIADORA: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Instituição Bancária Fiadora), com sede na Rua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com I.E. </w:t>
      </w:r>
      <w:proofErr w:type="gram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nº</w:t>
      </w:r>
      <w:proofErr w:type="gram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devidamente representada neste ato por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(Nome do representante legal da empresa), (Nacionalidade), (Cargo ou função que exerce na instituição bancária fiadora), (Estado Civil), Carteira de Identidade nº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AFIANÇADA: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Empresa Afiançada), com sede na Rua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com I.E. </w:t>
      </w:r>
      <w:proofErr w:type="gram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nº</w:t>
      </w:r>
      <w:proofErr w:type="gram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devidamente representada neste ato por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(Nome do representante legal da empresa), (Nacionalidade), (Cargo ou função que exerce na afiançada), (Estado Civil), Carteira de Identidade nº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CREDORA: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Empresa Credora), com sede na Rua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com I.E. </w:t>
      </w:r>
      <w:proofErr w:type="gram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nº</w:t>
      </w:r>
      <w:proofErr w:type="gram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devidamente representada neste ato por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(Nome do representante legal da empresa), (Nacionalidade), (Cargo ou função que exerce na Credora), (Estado Civil), Carteira de Identidade nº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676E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Fiança Bancária, que se regerá pelas cláusulas seguintes e pelas condições descritas no presente.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676EE" w:rsidRPr="00A676EE" w:rsidRDefault="00A676EE" w:rsidP="00A676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A676EE" w:rsidRPr="00A676EE" w:rsidRDefault="00A676EE" w:rsidP="00A676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 a prestação de fiança por parte do banco acima descrito, instituição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FIADORA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à empresa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AFIANÇADA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com relação aos produtos e serviços que adquire da empresa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CREDORA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Assim, para garantir pagamento de qualquer débito, no limite estipulado nesta carta de fiança de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reais, a instituição bancária se constitui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FIADORA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da empresa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AFIANÇADA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 seu principal pagador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primeiro.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contrato anteriormente firmado entre a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AFIANÇADA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 a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CREDORA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segue anexo a este instrumento por força de garantia principal, ressaltando-se que o primeiro comprometeu-se a adimplir e cumprir com </w:t>
      </w:r>
      <w:proofErr w:type="gram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todas</w:t>
      </w:r>
      <w:proofErr w:type="gram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obrigações neste contidas.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676EE" w:rsidRPr="00A676EE" w:rsidRDefault="00A676EE" w:rsidP="00A676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lastRenderedPageBreak/>
        <w:t>DO COMPROMISSO DE FIANÇA</w:t>
      </w:r>
    </w:p>
    <w:p w:rsidR="00A676EE" w:rsidRPr="00A676EE" w:rsidRDefault="00A676EE" w:rsidP="00A676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FIADORA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subsidiariamente a: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Adimplir, qualquer valor, que a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AFIANÇADA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fique a dever à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CREDORA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no limite estipulado nesta carta de fiança de R$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(Valor expresso), de responsabilidade primária </w:t>
      </w:r>
      <w:proofErr w:type="spellStart"/>
      <w:proofErr w:type="gram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da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AFIANÇADA</w:t>
      </w:r>
      <w:proofErr w:type="spellEnd"/>
      <w:proofErr w:type="gram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Decorre, portanto, que a responsabilidade da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FIADORA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é subsidiária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assim a instituição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FIADORA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somente efetivará o pagamento caso não haja cumprimento das obrigações originárias por parte da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AFIANÇADA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no prazo avençado. Desta feita, a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FIADORA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renuncia ao benefício de ordem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proofErr w:type="gram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 os juros, a multa e a correção estipulados no contrato realizado entre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AFIANÇADA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CREDORA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c)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Disponibilizar bens que satisfaçam a dívida.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caso de novação das obrigações contidas no contrato anexo, a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FIADORA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desobriga por todas as obrigações contidas no presente.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Ocorrendo o pagamento parcial ou total da dívida por parte da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FIADORA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ela adquirirá os direitos de credor, podendo desta forma, dar quitação e emitir recibos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4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FIADORA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é responsável pelo pagamento das faturas vencidas que não forem quitadas pela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AFIANÇADA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dentro do prazo de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 corridos. Desde que a primeira tenha ciência da existência da dívida, sem a necessidade de qualquer aviso, seja por correspondência ou notificação judicial, desfrutando a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FIADORA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do prazo de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 corridos para efetivar o pagamento.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primeiro.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devido pela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AFIANÇADA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é líquido e certo, para efeitos legais, inclusive para a respectiva cobrança judicial e executiva.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676EE" w:rsidRPr="00A676EE" w:rsidRDefault="00A676EE" w:rsidP="00A676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A676EE" w:rsidRPr="00A676EE" w:rsidRDefault="00A676EE" w:rsidP="00A676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de fiança bancária terá duração de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a contar do dia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com término em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(dia, mês e ano).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676EE" w:rsidRPr="00A676EE" w:rsidRDefault="00A676EE" w:rsidP="00A676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A676EE" w:rsidRPr="00A676EE" w:rsidRDefault="00A676EE" w:rsidP="00A676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Poderá o presente contrato ser rescindido: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proofErr w:type="gram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seja convencionado entre as partes deste instrumento a substituição da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FIADORA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Esta substituição será regulamentada por novo instrumento de fiança.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a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FIADORA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 a dívida da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AFIANÇADA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cobrada pela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CREDORA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na forma estabelecida na Cláusula 5ª.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676EE" w:rsidRPr="00A676EE" w:rsidRDefault="00A676EE" w:rsidP="00A676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A676EE" w:rsidRPr="00A676EE" w:rsidRDefault="00A676EE" w:rsidP="00A676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676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deste contrato, as partes elegem o foro da comarca de (</w:t>
      </w:r>
      <w:proofErr w:type="spell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Afiançada)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Credora)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Fiadora)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</w:t>
      </w:r>
      <w:r w:rsidRPr="00A676E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676E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A676E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A676E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A676E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1.481, do Código Civil.</w:t>
      </w:r>
      <w:r w:rsidRPr="00A676E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A676E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2.</w:t>
      </w:r>
      <w:r w:rsidRPr="00A676E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Para ter direito ao benefício de ordem, não é necessário mencioná-lo expressamente em contrato, e nem ter se obrigado como principal pagador ou solidário (Art. 1.492, do Código Civil).</w:t>
      </w:r>
      <w:r w:rsidRPr="00A676E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A676E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3.</w:t>
      </w:r>
      <w:r w:rsidRPr="00A676E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Benefício de ordem - Art. 1.491, do Código Civil. </w:t>
      </w:r>
      <w:r w:rsidRPr="00A676E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A676E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A676E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4.</w:t>
      </w:r>
      <w:r w:rsidRPr="00A676E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1.495, do Código Civil.</w:t>
      </w:r>
    </w:p>
    <w:p w:rsidR="00A676EE" w:rsidRPr="00A676EE" w:rsidRDefault="00A676EE" w:rsidP="00A676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76E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A676EE" w:rsidRDefault="00E97E9B" w:rsidP="00A676EE"/>
    <w:sectPr w:rsidR="00E97E9B" w:rsidRPr="00A676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271FE"/>
    <w:rsid w:val="006338A0"/>
    <w:rsid w:val="00643D80"/>
    <w:rsid w:val="00644CE9"/>
    <w:rsid w:val="006455DF"/>
    <w:rsid w:val="00645B38"/>
    <w:rsid w:val="0068057A"/>
    <w:rsid w:val="006B27A3"/>
    <w:rsid w:val="006E130D"/>
    <w:rsid w:val="006E6112"/>
    <w:rsid w:val="006F2030"/>
    <w:rsid w:val="0072282B"/>
    <w:rsid w:val="00733DB2"/>
    <w:rsid w:val="00755341"/>
    <w:rsid w:val="0076670F"/>
    <w:rsid w:val="00791B2F"/>
    <w:rsid w:val="00793BD9"/>
    <w:rsid w:val="007D26B0"/>
    <w:rsid w:val="007D36A2"/>
    <w:rsid w:val="00805D85"/>
    <w:rsid w:val="00823F7E"/>
    <w:rsid w:val="00863A02"/>
    <w:rsid w:val="008B1D79"/>
    <w:rsid w:val="008F6830"/>
    <w:rsid w:val="00907F01"/>
    <w:rsid w:val="009112C9"/>
    <w:rsid w:val="00927E90"/>
    <w:rsid w:val="00935782"/>
    <w:rsid w:val="0094707D"/>
    <w:rsid w:val="009B2AD4"/>
    <w:rsid w:val="009B5B6C"/>
    <w:rsid w:val="009F6CF2"/>
    <w:rsid w:val="00A14A7A"/>
    <w:rsid w:val="00A24574"/>
    <w:rsid w:val="00A4704A"/>
    <w:rsid w:val="00A676EE"/>
    <w:rsid w:val="00A713D7"/>
    <w:rsid w:val="00A73A2A"/>
    <w:rsid w:val="00A7503F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52003"/>
    <w:rsid w:val="00B52A31"/>
    <w:rsid w:val="00B56505"/>
    <w:rsid w:val="00B6063C"/>
    <w:rsid w:val="00B667E6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32D90"/>
    <w:rsid w:val="00C63918"/>
    <w:rsid w:val="00C739F7"/>
    <w:rsid w:val="00C777B4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D1710"/>
    <w:rsid w:val="00EE4992"/>
    <w:rsid w:val="00F3005D"/>
    <w:rsid w:val="00F30EA1"/>
    <w:rsid w:val="00F6460E"/>
    <w:rsid w:val="00F8700A"/>
    <w:rsid w:val="00F87A37"/>
    <w:rsid w:val="00F96C7E"/>
    <w:rsid w:val="00FE384B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5103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2013-06-17T17:42:00Z</dcterms:created>
  <dcterms:modified xsi:type="dcterms:W3CDTF">2013-06-17T17:42:00Z</dcterms:modified>
</cp:coreProperties>
</file>